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8366C" w14:textId="37A38C24" w:rsidR="005F0F84" w:rsidRDefault="005F0F84" w:rsidP="005F0F84">
      <w:pPr>
        <w:jc w:val="both"/>
      </w:pPr>
      <w:r>
        <w:t>The University and College have established a robust academic framework to ensure quality education and student welfare. The Internal Quality Assurance Cell (IQAC), under the guidance of the Principal, plays a pivotal role in deliberating and finalizing various aspects of the academic plan. The University publishes an academic calendar detailing the commencement and conclusion dates of each semester, along with the dates for internal examinations. The College aligns its academic calendar and handbook with these schedules, ensuring consistency and clarity for students and faculty. Internal examinations, seminars, viva, and assignments adhere to the University and College schedules. Remedial coaching is provided to weaker students based on their performance in internal exams, demonstrating a proactive approach to student support. The department provides guidance to meritorious students to help them achieve their goals. A structured tutorial system facilitates regular interaction between students and tutors. Monthly tutorial meetings allow for discussions on curriculum, college activities, and feedback from students. Centralized internal examinations and class tests are conducted using a combination of online supportive measures. Continuous monitoring of student outcomes ensures effective guidance and support. Proper career guidance and coaching for various competitive examinations are provided to students, aiding in their holistic development and progression. The college remains committed to maintaining high st</w:t>
      </w:r>
      <w:r w:rsidR="006D0F26">
        <w:t>andards of education adhering to the assessment policy</w:t>
      </w:r>
      <w:r>
        <w:t>.</w:t>
      </w:r>
    </w:p>
    <w:p w14:paraId="4D4C7FBC" w14:textId="77777777" w:rsidR="005F0F84" w:rsidRDefault="005F0F84" w:rsidP="005F0F84"/>
    <w:p w14:paraId="00C05AED" w14:textId="77777777" w:rsidR="005F0F84" w:rsidRDefault="005F0F84">
      <w:bookmarkStart w:id="0" w:name="_GoBack"/>
      <w:bookmarkEnd w:id="0"/>
    </w:p>
    <w:sectPr w:rsidR="005F0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84"/>
    <w:rsid w:val="003735C9"/>
    <w:rsid w:val="005F0F84"/>
    <w:rsid w:val="006D0F26"/>
    <w:rsid w:val="0076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44C5"/>
  <w15:chartTrackingRefBased/>
  <w15:docId w15:val="{A49CDB73-407F-42D1-B146-66D3F7D1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2024-10-26T07:37:00Z</dcterms:created>
  <dcterms:modified xsi:type="dcterms:W3CDTF">2024-10-26T08:48:00Z</dcterms:modified>
</cp:coreProperties>
</file>